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WSmall"/>
      </w:pPr>
      <w:r>
        <w:rPr>
          <w:b/>
          <w:color w:val="F37920"/>
          <w:sz w:val="16"/>
        </w:rPr>
        <w:t>COACHINGWERK BERLIN · DECISION-OS TEMPLATE</w:t>
      </w:r>
    </w:p>
    <w:p>
      <w:pPr>
        <w:pStyle w:val="CWTitle"/>
        <w:spacing w:after="40"/>
      </w:pPr>
      <w:r>
        <w:t>Meeting Minutes</w:t>
      </w:r>
    </w:p>
    <w:p>
      <w:pPr>
        <w:pStyle w:val="CWH1"/>
        <w:spacing w:after="80"/>
      </w:pPr>
      <w:r>
        <w:t>Entscheidungs- &amp; Aufgabenprotokoll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▁▁▁▁▁▁▁▁▁▁▁▁▁▁▁▁▁▁▁▁▁▁▁▁▁▁▁▁▁▁▁▁▁▁</w:t>
      </w:r>
    </w:p>
    <w:p>
      <w:pPr>
        <w:spacing w:after="160"/>
      </w:pPr>
      <w:r>
        <w:rPr>
          <w:rFonts w:ascii="Arial" w:hAnsi="Arial"/>
          <w:color w:val="2D3E49"/>
          <w:sz w:val="22"/>
        </w:rPr>
        <w:t>Für Meetings, die nicht nur dokumentieren, sondern Entscheidungen, Owner, Termine und Follow-up verbindlich machen.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49"/>
        <w:gridCol w:w="3549"/>
        <w:gridCol w:w="3549"/>
        <w:gridCol w:w="3549"/>
      </w:tblGrid>
      <w:tr>
        <w:trPr>
          <w:tblHeader w:val="true"/>
        </w:trPr>
        <w:tc>
          <w:tcPr>
            <w:tcW w:type="dxa" w:w="3549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shd w:fill="F3F4F6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r>
              <w:rPr>
                <w:rFonts w:ascii="Arial" w:hAnsi="Arial"/>
                <w:b/>
                <w:color w:val="223843"/>
                <w:sz w:val="18"/>
              </w:rPr>
              <w:t>1 · Rahmen</w:t>
            </w:r>
          </w:p>
          <w:p>
            <w:r>
              <w:rPr>
                <w:rFonts w:ascii="Arial" w:hAnsi="Arial"/>
                <w:color w:val="475569"/>
                <w:sz w:val="16"/>
              </w:rPr>
              <w:t>Datum, Typ, Teilnehmende, Rollen</w:t>
            </w:r>
          </w:p>
        </w:tc>
        <w:tc>
          <w:tcPr>
            <w:tcW w:type="dxa" w:w="3549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shd w:fill="F3F4F6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r>
              <w:rPr>
                <w:rFonts w:ascii="Arial" w:hAnsi="Arial"/>
                <w:b/>
                <w:color w:val="223843"/>
                <w:sz w:val="18"/>
              </w:rPr>
              <w:t>2 · Outcomes</w:t>
            </w:r>
          </w:p>
          <w:p>
            <w:r>
              <w:rPr>
                <w:rFonts w:ascii="Arial" w:hAnsi="Arial"/>
                <w:color w:val="475569"/>
                <w:sz w:val="16"/>
              </w:rPr>
              <w:t>Agenda-Punkte mit Ergebnis je Thema</w:t>
            </w:r>
          </w:p>
        </w:tc>
        <w:tc>
          <w:tcPr>
            <w:tcW w:type="dxa" w:w="3549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shd w:fill="F3F4F6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r>
              <w:rPr>
                <w:rFonts w:ascii="Arial" w:hAnsi="Arial"/>
                <w:b/>
                <w:color w:val="223843"/>
                <w:sz w:val="18"/>
              </w:rPr>
              <w:t>3 · Decision-Log</w:t>
            </w:r>
          </w:p>
          <w:p>
            <w:r>
              <w:rPr>
                <w:rFonts w:ascii="Arial" w:hAnsi="Arial"/>
                <w:color w:val="475569"/>
                <w:sz w:val="16"/>
              </w:rPr>
              <w:t>Beschlüsse mit Owner, Status und Review</w:t>
            </w:r>
          </w:p>
        </w:tc>
        <w:tc>
          <w:tcPr>
            <w:tcW w:type="dxa" w:w="3549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  <w:insideH w:val="single" w:sz="0" w:space="0" w:color="FFFFFF"/>
              <w:insideV w:val="single" w:sz="0" w:space="0" w:color="FFFFFF"/>
            </w:tcBorders>
            <w:shd w:fill="F3F4F6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r>
              <w:rPr>
                <w:rFonts w:ascii="Arial" w:hAnsi="Arial"/>
                <w:b/>
                <w:color w:val="223843"/>
                <w:sz w:val="18"/>
              </w:rPr>
              <w:t>4 · Action Items</w:t>
            </w:r>
          </w:p>
          <w:p>
            <w:r>
              <w:rPr>
                <w:rFonts w:ascii="Arial" w:hAnsi="Arial"/>
                <w:color w:val="475569"/>
                <w:sz w:val="16"/>
              </w:rPr>
              <w:t>Aufgaben mit DoD, Termin und Abhängigkeit</w:t>
            </w:r>
          </w:p>
        </w:tc>
      </w:tr>
    </w:tbl>
    <w:p>
      <w:pPr>
        <w:pStyle w:val="CWH1"/>
        <w:spacing w:before="60" w:after="0"/>
      </w:pPr>
      <w:r>
        <w:t>1) Rahmen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p>
      <w:pPr>
        <w:spacing w:after="140"/>
      </w:pPr>
      <w:r>
        <w:rPr>
          <w:rFonts w:ascii="Arial" w:hAnsi="Arial"/>
          <w:color w:val="475569"/>
          <w:sz w:val="18"/>
        </w:rPr>
        <w:t>Basisdaten des Meetings. Die Meeting-Typen sind bewusst an Decision-OS, Weekly, Monthly und QBR anschlussfähig.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39"/>
        <w:gridCol w:w="2839"/>
        <w:gridCol w:w="2839"/>
        <w:gridCol w:w="2839"/>
        <w:gridCol w:w="2839"/>
      </w:tblGrid>
      <w:tr>
        <w:trPr>
          <w:tblHeader w:val="true"/>
        </w:trPr>
        <w:tc>
          <w:tcPr>
            <w:tcW w:type="dxa" w:w="1814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Datum</w:t>
            </w:r>
          </w:p>
        </w:tc>
        <w:tc>
          <w:tcPr>
            <w:tcW w:type="dxa" w:w="1814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Zeitfenster</w:t>
            </w:r>
          </w:p>
        </w:tc>
        <w:tc>
          <w:tcPr>
            <w:tcW w:type="dxa" w:w="238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Ort/Call</w:t>
            </w:r>
          </w:p>
        </w:tc>
        <w:tc>
          <w:tcPr>
            <w:tcW w:type="dxa" w:w="294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Meeting-Typ</w:t>
            </w:r>
          </w:p>
        </w:tc>
        <w:tc>
          <w:tcPr>
            <w:tcW w:type="dxa" w:w="283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Protokoll verantwortlich</w:t>
            </w:r>
          </w:p>
        </w:tc>
      </w:tr>
      <w:tr>
        <w:trPr>
          <w:trHeight w:val="567" w:hRule="atLeast"/>
        </w:trPr>
        <w:tc>
          <w:tcPr>
            <w:tcW w:type="dxa" w:w="181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[YYYY-MM-DD]</w:t>
            </w:r>
          </w:p>
        </w:tc>
        <w:tc>
          <w:tcPr>
            <w:tcW w:type="dxa" w:w="181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[HH:MM-HH:MM]</w:t>
            </w:r>
          </w:p>
        </w:tc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[Onsite / Remote / Hybrid]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[Weekly / Monthly / QBR / Ad-hoc]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[Name]</w:t>
            </w:r>
          </w:p>
        </w:tc>
      </w:tr>
    </w:tbl>
    <w:p>
      <w:pPr>
        <w:pStyle w:val="CWH1"/>
        <w:spacing w:before="60" w:after="0"/>
      </w:pPr>
      <w:r>
        <w:t>2) Teilnehmende &amp; Rollen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39"/>
        <w:gridCol w:w="2839"/>
        <w:gridCol w:w="2839"/>
        <w:gridCol w:w="2839"/>
        <w:gridCol w:w="2839"/>
      </w:tblGrid>
      <w:tr>
        <w:trPr>
          <w:tblHeader w:val="true"/>
        </w:trPr>
        <w:tc>
          <w:tcPr>
            <w:tcW w:type="dxa" w:w="238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Name</w:t>
            </w:r>
          </w:p>
        </w:tc>
        <w:tc>
          <w:tcPr>
            <w:tcW w:type="dxa" w:w="272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Rolle / Funktion</w:t>
            </w:r>
          </w:p>
        </w:tc>
        <w:tc>
          <w:tcPr>
            <w:tcW w:type="dxa" w:w="1474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Anwesend</w:t>
            </w:r>
          </w:p>
        </w:tc>
        <w:tc>
          <w:tcPr>
            <w:tcW w:type="dxa" w:w="2664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Entscheidungsrolle</w:t>
            </w:r>
          </w:p>
        </w:tc>
        <w:tc>
          <w:tcPr>
            <w:tcW w:type="dxa" w:w="255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Kontakt / Bereich</w:t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ja  ☐ nein</w:t>
            </w:r>
          </w:p>
        </w:tc>
        <w:tc>
          <w:tcPr>
            <w:tcW w:type="dxa" w:w="266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  <w:t>☐ DRI  ☐ A  ☐ R  ☐ C  ☐ I</w:t>
            </w:r>
          </w:p>
        </w:tc>
        <w:tc>
          <w:tcPr>
            <w:tcW w:type="dxa" w:w="255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6"/>
              </w:rPr>
            </w:r>
          </w:p>
        </w:tc>
      </w:tr>
    </w:tbl>
    <w:p>
      <w:r>
        <w:br w:type="page"/>
      </w:r>
    </w:p>
    <w:p>
      <w:pPr>
        <w:pStyle w:val="CWH1"/>
        <w:spacing w:before="60" w:after="0"/>
      </w:pPr>
      <w:r>
        <w:t>3) Agenda &amp; Outcome-Protokoll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p>
      <w:pPr>
        <w:spacing w:after="140"/>
      </w:pPr>
      <w:r>
        <w:rPr>
          <w:rFonts w:ascii="Arial" w:hAnsi="Arial"/>
          <w:color w:val="475569"/>
          <w:sz w:val="18"/>
        </w:rPr>
        <w:t>Nicht alles mitschreiben. Entscheidend ist pro Agenda-Punkt: Was ist das Ergebnis, wer macht was und was bleibt offen?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66"/>
        <w:gridCol w:w="2366"/>
        <w:gridCol w:w="2366"/>
        <w:gridCol w:w="2366"/>
        <w:gridCol w:w="2366"/>
        <w:gridCol w:w="2366"/>
      </w:tblGrid>
      <w:tr>
        <w:trPr>
          <w:tblHeader w:val="true"/>
        </w:trPr>
        <w:tc>
          <w:tcPr>
            <w:tcW w:type="dxa" w:w="567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#</w:t>
            </w:r>
          </w:p>
        </w:tc>
        <w:tc>
          <w:tcPr>
            <w:tcW w:type="dxa" w:w="272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Thema / Agenda-Punkt</w:t>
            </w:r>
          </w:p>
        </w:tc>
        <w:tc>
          <w:tcPr>
            <w:tcW w:type="dxa" w:w="362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Kernaussage / Kontext</w:t>
            </w:r>
          </w:p>
        </w:tc>
        <w:tc>
          <w:tcPr>
            <w:tcW w:type="dxa" w:w="3969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Outcome / Entscheidung / nächster Schritt</w:t>
            </w:r>
          </w:p>
        </w:tc>
        <w:tc>
          <w:tcPr>
            <w:tcW w:type="dxa" w:w="170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644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Termin</w:t>
            </w:r>
          </w:p>
        </w:tc>
      </w:tr>
      <w:tr>
        <w:trPr>
          <w:trHeight w:val="635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  <w:t>1</w:t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6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6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635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  <w:t>2</w:t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6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6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635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  <w:t>3</w:t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6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6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635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  <w:t>4</w:t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6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6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635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  <w:t>5</w:t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6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6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635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  <w:t>6</w:t>
            </w:r>
          </w:p>
        </w:tc>
        <w:tc>
          <w:tcPr>
            <w:tcW w:type="dxa" w:w="272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6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969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6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</w:tbl>
    <w:p>
      <w:r>
        <w:br w:type="page"/>
      </w:r>
    </w:p>
    <w:p>
      <w:pPr>
        <w:pStyle w:val="CWH1"/>
        <w:spacing w:before="60" w:after="0"/>
      </w:pPr>
      <w:r>
        <w:t>4) Entscheidungen · Decision-Log Auszug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p>
      <w:pPr>
        <w:spacing w:after="140"/>
      </w:pPr>
      <w:r>
        <w:rPr>
          <w:rFonts w:ascii="Arial" w:hAnsi="Arial"/>
          <w:color w:val="475569"/>
          <w:sz w:val="18"/>
        </w:rPr>
        <w:t>Jede Entscheidung bekommt eine ID. Reopens werden nicht versteckt, sondern sichtbar gehalten.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74"/>
        <w:gridCol w:w="1774"/>
        <w:gridCol w:w="1774"/>
        <w:gridCol w:w="1774"/>
        <w:gridCol w:w="1774"/>
        <w:gridCol w:w="1774"/>
        <w:gridCol w:w="1774"/>
        <w:gridCol w:w="1774"/>
      </w:tblGrid>
      <w:tr>
        <w:trPr>
          <w:tblHeader w:val="true"/>
        </w:trPr>
        <w:tc>
          <w:tcPr>
            <w:tcW w:type="dxa" w:w="907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ID</w:t>
            </w:r>
          </w:p>
        </w:tc>
        <w:tc>
          <w:tcPr>
            <w:tcW w:type="dxa" w:w="260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Entscheidung</w:t>
            </w:r>
          </w:p>
        </w:tc>
        <w:tc>
          <w:tcPr>
            <w:tcW w:type="dxa" w:w="317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Kontext / Begründung</w:t>
            </w:r>
          </w:p>
        </w:tc>
        <w:tc>
          <w:tcPr>
            <w:tcW w:type="dxa" w:w="170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Owner (A/R)</w:t>
            </w:r>
          </w:p>
        </w:tc>
        <w:tc>
          <w:tcPr>
            <w:tcW w:type="dxa" w:w="1360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Datum</w:t>
            </w:r>
          </w:p>
        </w:tc>
        <w:tc>
          <w:tcPr>
            <w:tcW w:type="dxa" w:w="187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Gültig bis / Review</w:t>
            </w:r>
          </w:p>
        </w:tc>
        <w:tc>
          <w:tcPr>
            <w:tcW w:type="dxa" w:w="1530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Status</w:t>
            </w:r>
          </w:p>
        </w:tc>
        <w:tc>
          <w:tcPr>
            <w:tcW w:type="dxa" w:w="238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Reopen-Regel / Hinweis</w:t>
            </w:r>
          </w:p>
        </w:tc>
      </w:tr>
      <w:tr>
        <w:trPr>
          <w:trHeight w:val="641" w:hRule="atLeast"/>
        </w:trPr>
        <w:tc>
          <w:tcPr>
            <w:tcW w:type="dxa" w:w="90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D-001</w:t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36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53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beschlossen</w:t>
              <w:br/>
              <w:t>☐ re-open</w:t>
            </w:r>
          </w:p>
        </w:tc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641" w:hRule="atLeast"/>
        </w:trPr>
        <w:tc>
          <w:tcPr>
            <w:tcW w:type="dxa" w:w="90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D-002</w:t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36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53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beschlossen</w:t>
              <w:br/>
              <w:t>☐ re-open</w:t>
            </w:r>
          </w:p>
        </w:tc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641" w:hRule="atLeast"/>
        </w:trPr>
        <w:tc>
          <w:tcPr>
            <w:tcW w:type="dxa" w:w="90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D-003</w:t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36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53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beschlossen</w:t>
              <w:br/>
              <w:t>☐ re-open</w:t>
            </w:r>
          </w:p>
        </w:tc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641" w:hRule="atLeast"/>
        </w:trPr>
        <w:tc>
          <w:tcPr>
            <w:tcW w:type="dxa" w:w="90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D-004</w:t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36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53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beschlossen</w:t>
              <w:br/>
              <w:t>☐ re-open</w:t>
            </w:r>
          </w:p>
        </w:tc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641" w:hRule="atLeast"/>
        </w:trPr>
        <w:tc>
          <w:tcPr>
            <w:tcW w:type="dxa" w:w="90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D-005</w:t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36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53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beschlossen</w:t>
              <w:br/>
              <w:t>☐ re-open</w:t>
            </w:r>
          </w:p>
        </w:tc>
        <w:tc>
          <w:tcPr>
            <w:tcW w:type="dxa" w:w="238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</w:tbl>
    <w:p>
      <w:r>
        <w:br w:type="page"/>
      </w:r>
    </w:p>
    <w:p>
      <w:pPr>
        <w:pStyle w:val="CWH1"/>
        <w:spacing w:before="60" w:after="0"/>
      </w:pPr>
      <w:r>
        <w:t>5) Aufgaben · Action Items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p>
      <w:pPr>
        <w:spacing w:after="140"/>
      </w:pPr>
      <w:r>
        <w:rPr>
          <w:rFonts w:ascii="Arial" w:hAnsi="Arial"/>
          <w:color w:val="475569"/>
          <w:sz w:val="18"/>
        </w:rPr>
        <w:t>Aufgaben werden nicht nur notiert. Sie brauchen Owner, Fälligkeit, Definition of Done und Abhängigkeiten.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28"/>
        <w:gridCol w:w="2028"/>
        <w:gridCol w:w="2028"/>
        <w:gridCol w:w="2028"/>
        <w:gridCol w:w="2028"/>
        <w:gridCol w:w="2028"/>
        <w:gridCol w:w="2028"/>
      </w:tblGrid>
      <w:tr>
        <w:trPr>
          <w:tblHeader w:val="true"/>
        </w:trPr>
        <w:tc>
          <w:tcPr>
            <w:tcW w:type="dxa" w:w="567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#</w:t>
            </w:r>
          </w:p>
        </w:tc>
        <w:tc>
          <w:tcPr>
            <w:tcW w:type="dxa" w:w="283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Aufgabe</w:t>
            </w:r>
          </w:p>
        </w:tc>
        <w:tc>
          <w:tcPr>
            <w:tcW w:type="dxa" w:w="170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474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Fällig</w:t>
            </w:r>
          </w:p>
        </w:tc>
        <w:tc>
          <w:tcPr>
            <w:tcW w:type="dxa" w:w="351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DoD · fertig, wenn ...</w:t>
            </w:r>
          </w:p>
        </w:tc>
        <w:tc>
          <w:tcPr>
            <w:tcW w:type="dxa" w:w="170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94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Abhängigkeit / Eskalation</w:t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1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2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3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4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5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6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  <w:tr>
        <w:trPr>
          <w:trHeight w:val="567" w:hRule="atLeast"/>
        </w:trPr>
        <w:tc>
          <w:tcPr>
            <w:tcW w:type="dxa" w:w="56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7</w:t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47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  <w:t>☐ offen</w:t>
              <w:br/>
              <w:t>☐ in Arbeit</w:t>
              <w:br/>
              <w:t>☐ erledigt</w:t>
            </w:r>
          </w:p>
        </w:tc>
        <w:tc>
          <w:tcPr>
            <w:tcW w:type="dxa" w:w="29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4"/>
              </w:rPr>
            </w:r>
          </w:p>
        </w:tc>
      </w:tr>
    </w:tbl>
    <w:p>
      <w:r>
        <w:br w:type="page"/>
      </w:r>
    </w:p>
    <w:p>
      <w:pPr>
        <w:pStyle w:val="CWH1"/>
        <w:spacing w:before="60" w:after="0"/>
      </w:pPr>
      <w:r>
        <w:t>6) Risiken, Blocker &amp; Übergaben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p>
      <w:pPr>
        <w:spacing w:after="140"/>
      </w:pPr>
      <w:r>
        <w:rPr>
          <w:rFonts w:ascii="Arial" w:hAnsi="Arial"/>
          <w:color w:val="475569"/>
          <w:sz w:val="18"/>
        </w:rPr>
        <w:t>Alles, was Umsetzung gefährdet, gehört sichtbar ins Protokoll – inklusive Schnittstellen und SLA-Notizen.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39"/>
        <w:gridCol w:w="2839"/>
        <w:gridCol w:w="2839"/>
        <w:gridCol w:w="2839"/>
        <w:gridCol w:w="2839"/>
      </w:tblGrid>
      <w:tr>
        <w:trPr>
          <w:tblHeader w:val="true"/>
        </w:trPr>
        <w:tc>
          <w:tcPr>
            <w:tcW w:type="dxa" w:w="306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Risiko / Blocker</w:t>
            </w:r>
          </w:p>
        </w:tc>
        <w:tc>
          <w:tcPr>
            <w:tcW w:type="dxa" w:w="317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Auswirkung</w:t>
            </w:r>
          </w:p>
        </w:tc>
        <w:tc>
          <w:tcPr>
            <w:tcW w:type="dxa" w:w="345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Gegenmaßnahme</w:t>
            </w:r>
          </w:p>
        </w:tc>
        <w:tc>
          <w:tcPr>
            <w:tcW w:type="dxa" w:w="1927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204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Eskalation bis</w:t>
            </w:r>
          </w:p>
        </w:tc>
      </w:tr>
      <w:tr>
        <w:trPr>
          <w:trHeight w:val="539" w:hRule="atLeast"/>
        </w:trPr>
        <w:tc>
          <w:tcPr>
            <w:tcW w:type="dxa" w:w="30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45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92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539" w:hRule="atLeast"/>
        </w:trPr>
        <w:tc>
          <w:tcPr>
            <w:tcW w:type="dxa" w:w="30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45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92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539" w:hRule="atLeast"/>
        </w:trPr>
        <w:tc>
          <w:tcPr>
            <w:tcW w:type="dxa" w:w="30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45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92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539" w:hRule="atLeast"/>
        </w:trPr>
        <w:tc>
          <w:tcPr>
            <w:tcW w:type="dxa" w:w="30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17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45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92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</w:tbl>
    <w:p>
      <w:pPr>
        <w:spacing w:after="40"/>
      </w:pPr>
      <w:r>
        <w:rPr>
          <w:rFonts w:ascii="Arial" w:hAnsi="Arial"/>
          <w:b/>
          <w:color w:val="223843"/>
          <w:sz w:val="24"/>
        </w:rPr>
        <w:t>Übergaben &amp; SLA-Notizen · hybrid-ready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39"/>
        <w:gridCol w:w="2839"/>
        <w:gridCol w:w="2839"/>
        <w:gridCol w:w="2839"/>
        <w:gridCol w:w="2839"/>
      </w:tblGrid>
      <w:tr>
        <w:trPr>
          <w:tblHeader w:val="true"/>
        </w:trPr>
        <w:tc>
          <w:tcPr>
            <w:tcW w:type="dxa" w:w="283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Schnittstelle</w:t>
            </w:r>
          </w:p>
        </w:tc>
        <w:tc>
          <w:tcPr>
            <w:tcW w:type="dxa" w:w="260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Reaktionszeit / SLA</w:t>
            </w:r>
          </w:p>
        </w:tc>
        <w:tc>
          <w:tcPr>
            <w:tcW w:type="dxa" w:w="385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Qualitätskriterium / DoD</w:t>
            </w:r>
          </w:p>
        </w:tc>
        <w:tc>
          <w:tcPr>
            <w:tcW w:type="dxa" w:w="283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Nachweis / Tool</w:t>
            </w:r>
          </w:p>
        </w:tc>
        <w:tc>
          <w:tcPr>
            <w:tcW w:type="dxa" w:w="1701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Owner</w:t>
            </w:r>
          </w:p>
        </w:tc>
      </w:tr>
      <w:tr>
        <w:trPr>
          <w:trHeight w:val="539" w:hRule="atLeast"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85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539" w:hRule="atLeast"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85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539" w:hRule="atLeast"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85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  <w:tr>
        <w:trPr>
          <w:trHeight w:val="539" w:hRule="atLeast"/>
        </w:trPr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60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385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283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5"/>
              </w:rPr>
            </w:r>
          </w:p>
        </w:tc>
      </w:tr>
    </w:tbl>
    <w:p>
      <w:r>
        <w:br w:type="page"/>
      </w:r>
    </w:p>
    <w:p>
      <w:pPr>
        <w:pStyle w:val="CWH1"/>
        <w:spacing w:before="60" w:after="0"/>
      </w:pPr>
      <w:r>
        <w:t>7) Abschluss &amp; nächster Review</w:t>
      </w:r>
    </w:p>
    <w:p>
      <w:pPr>
        <w:spacing w:after="80"/>
      </w:pPr>
      <w:r>
        <w:rPr>
          <w:rFonts w:ascii="Arial" w:hAnsi="Arial"/>
          <w:color w:val="F37920"/>
          <w:sz w:val="16"/>
        </w:rPr>
        <w:t>▁▁▁▁▁▁▁▁▁▁▁▁▁▁▁▁▁▁</w:t>
      </w:r>
    </w:p>
    <w:p>
      <w:pPr>
        <w:spacing w:after="140"/>
      </w:pPr>
      <w:r>
        <w:rPr>
          <w:rFonts w:ascii="Arial" w:hAnsi="Arial"/>
          <w:color w:val="475569"/>
          <w:sz w:val="18"/>
        </w:rPr>
        <w:t>Ein Meeting ist erst geschlossen, wenn Review, Versand und Follow-up benannt sind.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49"/>
        <w:gridCol w:w="3549"/>
        <w:gridCol w:w="3549"/>
        <w:gridCol w:w="3549"/>
      </w:tblGrid>
      <w:tr>
        <w:trPr>
          <w:tblHeader w:val="true"/>
        </w:trPr>
        <w:tc>
          <w:tcPr>
            <w:tcW w:type="dxa" w:w="311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Nächster Termin / Review</w:t>
            </w:r>
          </w:p>
        </w:tc>
        <w:tc>
          <w:tcPr>
            <w:tcW w:type="dxa" w:w="300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Protokoll versendet am</w:t>
            </w:r>
          </w:p>
        </w:tc>
        <w:tc>
          <w:tcPr>
            <w:tcW w:type="dxa" w:w="300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Follow-up verantwortlich</w:t>
            </w:r>
          </w:p>
        </w:tc>
        <w:tc>
          <w:tcPr>
            <w:tcW w:type="dxa" w:w="3515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223843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Offene Eskalation</w:t>
            </w:r>
          </w:p>
        </w:tc>
      </w:tr>
      <w:tr>
        <w:trPr>
          <w:trHeight w:val="567" w:hRule="atLeast"/>
        </w:trPr>
        <w:tc>
          <w:tcPr>
            <w:tcW w:type="dxa" w:w="311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[Datum / Takt]</w:t>
            </w:r>
          </w:p>
        </w:tc>
        <w:tc>
          <w:tcPr>
            <w:tcW w:type="dxa" w:w="300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[Datum / Uhrzeit]</w:t>
            </w:r>
          </w:p>
        </w:tc>
        <w:tc>
          <w:tcPr>
            <w:tcW w:type="dxa" w:w="300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[Name]</w:t>
            </w:r>
          </w:p>
        </w:tc>
        <w:tc>
          <w:tcPr>
            <w:tcW w:type="dxa" w:w="3515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/>
            <w:r>
              <w:rPr>
                <w:rFonts w:ascii="Arial" w:hAnsi="Arial" w:eastAsia="Arial"/>
                <w:b w:val="0"/>
                <w:color w:val="1F2937"/>
                <w:sz w:val="17"/>
              </w:rPr>
              <w:t>[ja/nein · falls ja: wohin?]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098"/>
        <w:gridCol w:w="7098"/>
      </w:tblGrid>
      <w:tr>
        <w:trPr>
          <w:tblHeader w:val="true"/>
        </w:trPr>
        <w:tc>
          <w:tcPr>
            <w:tcW w:type="dxa" w:w="709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F8FAFC"/>
            <w:tcMar>
              <w:top w:w="180" w:type="dxa"/>
              <w:start w:w="180" w:type="dxa"/>
              <w:bottom w:w="180" w:type="dxa"/>
              <w:end w:w="180" w:type="dxa"/>
            </w:tcMar>
          </w:tcPr>
          <w:p>
            <w:r>
              <w:rPr>
                <w:rFonts w:ascii="Arial" w:hAnsi="Arial"/>
                <w:b/>
                <w:color w:val="223843"/>
                <w:sz w:val="24"/>
              </w:rPr>
              <w:t>Mini-Guide · Gute Minutes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Outcome-Satz pro Agenda-Punkt: Was ist entschieden? Wer? Bis wann?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DoD nutzen: „Fertig, wenn ...“ für Aufgaben standardisieren.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Entscheidungen eindeutig labeln: ID, Owner, Status, Review.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24h-Regel: Protokoll binnen 24 Stunden teilen und Owner bestätigen lassen.</w:t>
            </w:r>
          </w:p>
        </w:tc>
        <w:tc>
          <w:tcPr>
            <w:tcW w:type="dxa" w:w="7098"/>
            <w:tcBorders>
              <w:top w:val="single" w:sz="8" w:space="0" w:color="E1E7EC"/>
              <w:left w:val="single" w:sz="8" w:space="0" w:color="E1E7EC"/>
              <w:bottom w:val="single" w:sz="8" w:space="0" w:color="E1E7EC"/>
              <w:right w:val="single" w:sz="8" w:space="0" w:color="E1E7EC"/>
              <w:insideH w:val="single" w:sz="8" w:space="0" w:color="E1E7EC"/>
              <w:insideV w:val="single" w:sz="8" w:space="0" w:color="E1E7EC"/>
            </w:tcBorders>
            <w:shd w:fill="F8FAFC"/>
            <w:tcMar>
              <w:top w:w="180" w:type="dxa"/>
              <w:start w:w="180" w:type="dxa"/>
              <w:bottom w:w="180" w:type="dxa"/>
              <w:end w:w="180" w:type="dxa"/>
            </w:tcMar>
          </w:tcPr>
          <w:p>
            <w:r>
              <w:rPr>
                <w:rFonts w:ascii="Arial" w:hAnsi="Arial"/>
                <w:b/>
                <w:color w:val="223843"/>
                <w:sz w:val="24"/>
              </w:rPr>
              <w:t>Mini-Guide · Reopen-Quote senken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Vor Beschluss klären: Rolle, Budget, Abhängigkeiten, Risiko.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DoA prüfen: Ist die Entscheidung auf der richtigen Ebene?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Was-wer-bis-wann plus Eskalationsweg dokumentieren.</w:t>
            </w:r>
          </w:p>
          <w:p>
            <w:pPr>
              <w:spacing w:after="60"/>
              <w:ind w:left="142"/>
            </w:pPr>
            <w:r>
              <w:rPr>
                <w:rFonts w:ascii="Arial" w:hAnsi="Arial"/>
                <w:color w:val="334155"/>
                <w:sz w:val="16"/>
              </w:rPr>
              <w:t>• Review-Takt kurz halten, Blocker früh melden.</w:t>
            </w:r>
          </w:p>
        </w:tc>
      </w:tr>
    </w:tbl>
    <w:p>
      <w:pPr>
        <w:spacing w:before="200" w:after="0"/>
      </w:pPr>
      <w:r>
        <w:rPr>
          <w:rFonts w:ascii="Arial" w:hAnsi="Arial"/>
          <w:b/>
          <w:color w:val="F37920"/>
          <w:sz w:val="20"/>
        </w:rPr>
        <w:t>Coachingwerk-Prinzip: Jeder Takt endet mit Decision-Log, Owner, Termin und Review.</w:t>
      </w:r>
    </w:p>
    <w:p>
      <w:r>
        <w:rPr>
          <w:rFonts w:ascii="Arial" w:hAnsi="Arial"/>
          <w:color w:val="475569"/>
          <w:sz w:val="18"/>
        </w:rPr>
        <w:t>Nutzen Sie diese Minutes nicht als Mitschrift, sondern als Entscheidungsspur. Wenn aus jedem Meeting klar wird, was entschieden wurde, wer trägt und wann reviewed wird, sinken Nachlauf, Reopens und Verantwortungsdiffusion.</w:t>
      </w:r>
    </w:p>
    <w:sectPr w:rsidR="00FC693F" w:rsidRPr="0006063C" w:rsidSect="00034616">
      <w:headerReference w:type="default" r:id="rId9"/>
      <w:footerReference w:type="default" r:id="rId10"/>
      <w:pgSz w:w="15840" w:h="12240" w:orient="landscape"/>
      <w:pgMar w:top="765" w:right="822" w:bottom="709" w:left="822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75569"/>
        <w:sz w:val="14"/>
      </w:rPr>
      <w:t>Wirksam statt technisch · Wirkung vor Tool · coachingwerk.berlin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475569"/>
        <w:sz w:val="14"/>
      </w:rPr>
      <w:t>Coachingwerk Berlin · Decision-OS</w:t>
    </w:r>
    <w:r>
      <w:rPr>
        <w:rFonts w:ascii="Arial" w:hAnsi="Arial"/>
        <w:color w:val="475569"/>
        <w:sz w:val="14"/>
      </w:rPr>
      <w:tab/>
      <w:t>Meeting Minutes Template · Entscheidungs- &amp; Aufgabenprotokoll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F2937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WTitle">
    <w:name w:val="CW Title"/>
    <w:rPr>
      <w:rFonts w:ascii="Arial" w:hAnsi="Arial" w:eastAsia="Arial"/>
      <w:b/>
      <w:color w:val="223843"/>
      <w:sz w:val="46"/>
    </w:rPr>
  </w:style>
  <w:style w:type="paragraph" w:customStyle="1" w:styleId="CWH1">
    <w:name w:val="CW H1"/>
    <w:rPr>
      <w:rFonts w:ascii="Arial" w:hAnsi="Arial" w:eastAsia="Arial"/>
      <w:b/>
      <w:color w:val="223843"/>
      <w:sz w:val="36"/>
    </w:rPr>
  </w:style>
  <w:style w:type="paragraph" w:customStyle="1" w:styleId="CWH2">
    <w:name w:val="CW H2"/>
    <w:rPr>
      <w:rFonts w:ascii="Arial" w:hAnsi="Arial" w:eastAsia="Arial"/>
      <w:b/>
      <w:color w:val="223843"/>
      <w:sz w:val="26"/>
    </w:rPr>
  </w:style>
  <w:style w:type="paragraph" w:customStyle="1" w:styleId="CWSmall">
    <w:name w:val="CW Small"/>
    <w:rPr>
      <w:rFonts w:ascii="Arial" w:hAnsi="Arial" w:eastAsia="Arial"/>
      <w:b w:val="0"/>
      <w:color w:val="475569"/>
      <w:sz w:val="15"/>
    </w:rPr>
  </w:style>
  <w:style w:type="paragraph" w:customStyle="1" w:styleId="CWLabel">
    <w:name w:val="CW Label"/>
    <w:rPr>
      <w:rFonts w:ascii="Arial" w:hAnsi="Arial" w:eastAsia="Arial"/>
      <w:b/>
      <w:color w:val="475569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Coachingwerk</dc:title>
  <dc:subject>Entscheidungs- und Aufgabenprotokoll für Decision-OS, Meeting-Cadence und Follow-up</dc:subject>
  <dc:creator>Coachingwerk Berlin</dc:creator>
  <cp:keywords>Meeting Minutes, Decision-Log, Action Items, Owner, Follow-up, Decision-OS, Coachingwerk Berlin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